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1A" w:rsidRDefault="00A8405B">
      <w:r>
        <w:t>Vietato lasciare il cane libero e senza museruola nel cortile condominiale</w:t>
      </w:r>
      <w:r>
        <w:br/>
      </w:r>
      <w:r>
        <w:br/>
        <w:t>Cass., sez. IV Penale, sentenza n. 4672 del 03/02/2009</w:t>
      </w:r>
      <w:r>
        <w:br/>
      </w:r>
      <w:r>
        <w:br/>
        <w:t xml:space="preserve">Il cane ve tenuto al guinzaglio e con la museruola anche nel giardino condominiale </w:t>
      </w:r>
      <w:proofErr w:type="spellStart"/>
      <w:r>
        <w:t>perchè</w:t>
      </w:r>
      <w:proofErr w:type="spellEnd"/>
      <w:r>
        <w:t xml:space="preserve"> se l’animale aggredisce un condomino, il proprietario sarà ritenuto responsabile di averlo lasciato libero. Questo è in sintesi l'enunciato della Corte di Cassazione con la sentenza n. 4672 del 3 febbraio 2009.</w:t>
      </w:r>
      <w:r>
        <w:br/>
      </w:r>
      <w:r>
        <w:br/>
        <w:t>(Nella specie, la Cassazione ha confermato la condanna per lesioni colpose inflitta dal tribunale di Catania che aveva considerato «colpevole il proprietario per avere lasciato libero l’animale e omesso di custodirlo nel cortile condominiale, dove si trovavano altre persone, tenuto conto anche della mole dell’animale».)</w:t>
      </w:r>
    </w:p>
    <w:sectPr w:rsidR="005C661A" w:rsidSect="005C6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40507"/>
    <w:rsid w:val="000343C0"/>
    <w:rsid w:val="002E107E"/>
    <w:rsid w:val="00340507"/>
    <w:rsid w:val="004B292F"/>
    <w:rsid w:val="005C661A"/>
    <w:rsid w:val="008C35AD"/>
    <w:rsid w:val="00941366"/>
    <w:rsid w:val="009D4E46"/>
    <w:rsid w:val="00A05CAC"/>
    <w:rsid w:val="00A62EA1"/>
    <w:rsid w:val="00A73AD8"/>
    <w:rsid w:val="00A75698"/>
    <w:rsid w:val="00A8405B"/>
    <w:rsid w:val="00AB5903"/>
    <w:rsid w:val="00B04488"/>
    <w:rsid w:val="00B73D88"/>
    <w:rsid w:val="00E6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6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Grizli777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Sampei</dc:creator>
  <cp:lastModifiedBy>Sampei</cp:lastModifiedBy>
  <cp:revision>2</cp:revision>
  <dcterms:created xsi:type="dcterms:W3CDTF">2012-01-19T00:08:00Z</dcterms:created>
  <dcterms:modified xsi:type="dcterms:W3CDTF">2012-01-19T00:08:00Z</dcterms:modified>
</cp:coreProperties>
</file>